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0C867" w14:textId="77777777" w:rsidR="005C26BC" w:rsidRPr="0041144F" w:rsidRDefault="005C26BC" w:rsidP="005C26BC">
      <w:pPr>
        <w:spacing w:after="0" w:line="360" w:lineRule="auto"/>
        <w:jc w:val="both"/>
        <w:rPr>
          <w:b/>
          <w:bCs/>
          <w:color w:val="222A35" w:themeColor="text2" w:themeShade="80"/>
        </w:rPr>
      </w:pPr>
      <w:bookmarkStart w:id="0" w:name="_GoBack"/>
      <w:bookmarkEnd w:id="0"/>
    </w:p>
    <w:p w14:paraId="4E07E460" w14:textId="77777777" w:rsidR="005C26BC" w:rsidRPr="0041144F" w:rsidRDefault="005C26BC" w:rsidP="005C26BC">
      <w:pPr>
        <w:spacing w:after="0" w:line="360" w:lineRule="auto"/>
        <w:jc w:val="both"/>
        <w:rPr>
          <w:b/>
          <w:bCs/>
          <w:color w:val="222A35" w:themeColor="text2" w:themeShade="80"/>
        </w:rPr>
      </w:pPr>
    </w:p>
    <w:p w14:paraId="3C1A770F" w14:textId="099C58D0" w:rsidR="000E5A17" w:rsidRPr="0041144F" w:rsidRDefault="005C26BC" w:rsidP="005C26BC">
      <w:pPr>
        <w:spacing w:after="0" w:line="360" w:lineRule="auto"/>
        <w:jc w:val="both"/>
        <w:rPr>
          <w:b/>
          <w:bCs/>
          <w:color w:val="222A35" w:themeColor="text2" w:themeShade="80"/>
        </w:rPr>
      </w:pPr>
      <w:r w:rsidRPr="0041144F">
        <w:rPr>
          <w:b/>
          <w:bCs/>
          <w:color w:val="222A35" w:themeColor="text2" w:themeShade="80"/>
        </w:rPr>
        <w:t>NOTA</w:t>
      </w:r>
      <w:r w:rsidR="000E5A17" w:rsidRPr="0041144F">
        <w:rPr>
          <w:b/>
          <w:bCs/>
          <w:color w:val="222A35" w:themeColor="text2" w:themeShade="80"/>
        </w:rPr>
        <w:t xml:space="preserve"> LABORATORI ITS</w:t>
      </w:r>
    </w:p>
    <w:p w14:paraId="2D5A3B16" w14:textId="757246FE" w:rsidR="003152D9" w:rsidRPr="0041144F" w:rsidRDefault="003152D9" w:rsidP="005C26BC">
      <w:pPr>
        <w:spacing w:after="0" w:line="360" w:lineRule="auto"/>
        <w:jc w:val="both"/>
        <w:rPr>
          <w:color w:val="222A35" w:themeColor="text2" w:themeShade="80"/>
        </w:rPr>
      </w:pPr>
      <w:r w:rsidRPr="0041144F">
        <w:rPr>
          <w:color w:val="222A35" w:themeColor="text2" w:themeShade="80"/>
        </w:rPr>
        <w:t>La proposta laboratoriale che si propone ha l’obiettivo di rafforzare le conoscenze sul sistema ITS e sull’offerta formativa tecnica superiore presente sul territorio nazionale e a livello regionale, per poter sostenere gli studenti nelle scelte successive al conseguimento del diploma, fornendo loro strumenti che permettano l'acquisizione di informazioni anche in modo autonomo e consapevole.</w:t>
      </w:r>
    </w:p>
    <w:p w14:paraId="79999308" w14:textId="4DE4481A" w:rsidR="003152D9" w:rsidRPr="0041144F" w:rsidRDefault="003152D9" w:rsidP="005C26BC">
      <w:pPr>
        <w:spacing w:after="0" w:line="360" w:lineRule="auto"/>
        <w:jc w:val="both"/>
        <w:rPr>
          <w:color w:val="222A35" w:themeColor="text2" w:themeShade="80"/>
        </w:rPr>
      </w:pPr>
      <w:r w:rsidRPr="0041144F">
        <w:rPr>
          <w:color w:val="222A35" w:themeColor="text2" w:themeShade="80"/>
        </w:rPr>
        <w:t>Il laboratorio ITS prevede un set differenziato di attività, organizzate in moduli, che si sviluppano lungo un continuum di livelli di approfondimento/coinvolgimento, andando dall’informazione orientativa alla realizzazione di “esperienze pratiche sul campo”, con la possibilità di co-progettare e co-realizzare gli interventi direttamente con le Fondazioni ITS. Non c’è un rapporto di propedeuticità tra un modulo e l’altro</w:t>
      </w:r>
      <w:r w:rsidR="0041144F">
        <w:rPr>
          <w:color w:val="222A35" w:themeColor="text2" w:themeShade="80"/>
        </w:rPr>
        <w:t xml:space="preserve">; inoltre </w:t>
      </w:r>
      <w:r w:rsidR="008D7C15" w:rsidRPr="0041144F">
        <w:rPr>
          <w:color w:val="222A35" w:themeColor="text2" w:themeShade="80"/>
        </w:rPr>
        <w:t>ogni scuola può valutare di proseguire direttamente con il laboratorio orientativo</w:t>
      </w:r>
      <w:r w:rsidR="0041144F">
        <w:rPr>
          <w:color w:val="222A35" w:themeColor="text2" w:themeShade="80"/>
        </w:rPr>
        <w:t xml:space="preserve"> di approfondimento di una singola Fondazione ITS.</w:t>
      </w:r>
    </w:p>
    <w:p w14:paraId="31205F0C" w14:textId="77777777" w:rsidR="005C26BC" w:rsidRPr="0041144F" w:rsidRDefault="005C26BC" w:rsidP="005C26BC">
      <w:pPr>
        <w:spacing w:after="0" w:line="360" w:lineRule="auto"/>
        <w:jc w:val="both"/>
        <w:rPr>
          <w:color w:val="222A35" w:themeColor="text2" w:themeShade="80"/>
        </w:rPr>
      </w:pPr>
    </w:p>
    <w:p w14:paraId="134A5768" w14:textId="4D7624E1" w:rsidR="007D6922" w:rsidRPr="0041144F" w:rsidRDefault="007D6922" w:rsidP="005C26BC">
      <w:pPr>
        <w:spacing w:after="0" w:line="360" w:lineRule="auto"/>
        <w:jc w:val="both"/>
        <w:rPr>
          <w:b/>
          <w:bCs/>
          <w:color w:val="222A35" w:themeColor="text2" w:themeShade="80"/>
        </w:rPr>
      </w:pPr>
      <w:r w:rsidRPr="0041144F">
        <w:rPr>
          <w:b/>
          <w:bCs/>
          <w:color w:val="222A35" w:themeColor="text2" w:themeShade="80"/>
        </w:rPr>
        <w:t>Laboratorio di I livello</w:t>
      </w:r>
    </w:p>
    <w:p w14:paraId="273C22BE" w14:textId="1864DD65" w:rsidR="003152D9" w:rsidRPr="0041144F" w:rsidRDefault="003152D9" w:rsidP="005C26BC">
      <w:pPr>
        <w:spacing w:after="0" w:line="360" w:lineRule="auto"/>
        <w:jc w:val="both"/>
        <w:rPr>
          <w:color w:val="222A35" w:themeColor="text2" w:themeShade="80"/>
        </w:rPr>
      </w:pPr>
      <w:r w:rsidRPr="0041144F">
        <w:rPr>
          <w:color w:val="222A35" w:themeColor="text2" w:themeShade="80"/>
        </w:rPr>
        <w:t>L’orientamento di I livello prevede la realizzazione di uno o più seminari informativi rivolti a studenti (delle classi IV e V) e agli insegnanti delle scuole superiori di II grado. I seminari hanno l’obiettivo di far conoscere il sistema ITS nazionale e l’offerta formativa tecnica superiore presente sul territorio regionale, fornendo altresì ai destinatari strumenti per supportare le transizioni formative e lavorative degli studenti.</w:t>
      </w:r>
    </w:p>
    <w:p w14:paraId="5E94BC68" w14:textId="4C2145D1" w:rsidR="003152D9" w:rsidRPr="0041144F" w:rsidRDefault="003152D9" w:rsidP="005C26BC">
      <w:pPr>
        <w:spacing w:after="0" w:line="360" w:lineRule="auto"/>
        <w:jc w:val="both"/>
        <w:rPr>
          <w:color w:val="222A35" w:themeColor="text2" w:themeShade="80"/>
        </w:rPr>
      </w:pPr>
      <w:r w:rsidRPr="0041144F">
        <w:rPr>
          <w:color w:val="222A35" w:themeColor="text2" w:themeShade="80"/>
        </w:rPr>
        <w:t>Durante gli incontri vengono presentate le caratteristiche salienti dell’istruzione tecnica superiore in Italia. L’intervento verrà implementato dalla condivisione di materiali informativi e durante lo svolgimento del laboratorio sono previsti 3 momenti interattivi.</w:t>
      </w:r>
      <w:r w:rsidR="005C26BC" w:rsidRPr="0041144F">
        <w:rPr>
          <w:color w:val="222A35" w:themeColor="text2" w:themeShade="80"/>
        </w:rPr>
        <w:t xml:space="preserve"> </w:t>
      </w:r>
      <w:r w:rsidRPr="0041144F">
        <w:rPr>
          <w:color w:val="222A35" w:themeColor="text2" w:themeShade="80"/>
        </w:rPr>
        <w:t xml:space="preserve">L’attività, realizzata in presenza o mediante webinar, </w:t>
      </w:r>
      <w:r w:rsidR="0041144F">
        <w:rPr>
          <w:color w:val="222A35" w:themeColor="text2" w:themeShade="80"/>
        </w:rPr>
        <w:t>verrà gestita</w:t>
      </w:r>
      <w:r w:rsidRPr="0041144F">
        <w:rPr>
          <w:color w:val="222A35" w:themeColor="text2" w:themeShade="80"/>
        </w:rPr>
        <w:t xml:space="preserve"> d</w:t>
      </w:r>
      <w:r w:rsidR="0041144F">
        <w:rPr>
          <w:color w:val="222A35" w:themeColor="text2" w:themeShade="80"/>
        </w:rPr>
        <w:t>a</w:t>
      </w:r>
      <w:r w:rsidRPr="0041144F">
        <w:rPr>
          <w:color w:val="222A35" w:themeColor="text2" w:themeShade="80"/>
        </w:rPr>
        <w:t>gli operatori territoriali</w:t>
      </w:r>
      <w:r w:rsidR="008D7C15" w:rsidRPr="0041144F">
        <w:rPr>
          <w:color w:val="222A35" w:themeColor="text2" w:themeShade="80"/>
        </w:rPr>
        <w:t xml:space="preserve"> di Anpal Servizi che lavorano a supporto delle scuole regionali</w:t>
      </w:r>
      <w:r w:rsidRPr="0041144F">
        <w:rPr>
          <w:color w:val="222A35" w:themeColor="text2" w:themeShade="80"/>
        </w:rPr>
        <w:t>, in raccordo comunque con le Fondazioni ITS. La durata complessiva di ciascun intervento può variare da 1 ora a 2, a seconda delle modalità di erogazione</w:t>
      </w:r>
      <w:r w:rsidR="0041144F">
        <w:rPr>
          <w:color w:val="222A35" w:themeColor="text2" w:themeShade="80"/>
        </w:rPr>
        <w:t xml:space="preserve"> e degli accordi con le singole scuole.</w:t>
      </w:r>
    </w:p>
    <w:p w14:paraId="557066CB" w14:textId="77777777" w:rsidR="005C26BC" w:rsidRPr="0041144F" w:rsidRDefault="005C26BC" w:rsidP="005C26BC">
      <w:pPr>
        <w:spacing w:after="0" w:line="360" w:lineRule="auto"/>
        <w:jc w:val="both"/>
        <w:rPr>
          <w:color w:val="222A35" w:themeColor="text2" w:themeShade="80"/>
        </w:rPr>
      </w:pPr>
    </w:p>
    <w:p w14:paraId="5A917F50" w14:textId="14BBD46F" w:rsidR="007D6922" w:rsidRPr="0041144F" w:rsidRDefault="007D6922" w:rsidP="005C26BC">
      <w:pPr>
        <w:spacing w:after="0" w:line="360" w:lineRule="auto"/>
        <w:jc w:val="both"/>
        <w:rPr>
          <w:b/>
          <w:bCs/>
          <w:color w:val="222A35" w:themeColor="text2" w:themeShade="80"/>
        </w:rPr>
      </w:pPr>
      <w:r w:rsidRPr="0041144F">
        <w:rPr>
          <w:b/>
          <w:bCs/>
          <w:color w:val="222A35" w:themeColor="text2" w:themeShade="80"/>
        </w:rPr>
        <w:t>Lab</w:t>
      </w:r>
      <w:r w:rsidR="000E5A17" w:rsidRPr="0041144F">
        <w:rPr>
          <w:b/>
          <w:bCs/>
          <w:color w:val="222A35" w:themeColor="text2" w:themeShade="80"/>
        </w:rPr>
        <w:t>oratorio</w:t>
      </w:r>
      <w:r w:rsidRPr="0041144F">
        <w:rPr>
          <w:b/>
          <w:bCs/>
          <w:color w:val="222A35" w:themeColor="text2" w:themeShade="80"/>
        </w:rPr>
        <w:t xml:space="preserve"> orientativo</w:t>
      </w:r>
    </w:p>
    <w:p w14:paraId="079A31F9" w14:textId="77777777" w:rsidR="003152D9" w:rsidRPr="0041144F" w:rsidRDefault="003152D9" w:rsidP="005C26BC">
      <w:pPr>
        <w:spacing w:after="0" w:line="360" w:lineRule="auto"/>
        <w:jc w:val="both"/>
        <w:rPr>
          <w:color w:val="222A35" w:themeColor="text2" w:themeShade="80"/>
        </w:rPr>
      </w:pPr>
      <w:r w:rsidRPr="0041144F">
        <w:rPr>
          <w:color w:val="222A35" w:themeColor="text2" w:themeShade="80"/>
        </w:rPr>
        <w:t xml:space="preserve">Il laboratorio orientativo è destinato agli studenti delle classi IV e </w:t>
      </w:r>
      <w:r w:rsidRPr="0041144F">
        <w:rPr>
          <w:b/>
          <w:bCs/>
          <w:color w:val="222A35" w:themeColor="text2" w:themeShade="80"/>
        </w:rPr>
        <w:t>principalmente V</w:t>
      </w:r>
      <w:r w:rsidRPr="0041144F">
        <w:rPr>
          <w:color w:val="222A35" w:themeColor="text2" w:themeShade="80"/>
        </w:rPr>
        <w:t xml:space="preserve">, ed ha l’obiettivo di approfondire l’offerta formativa tecnica superiore presente sul territorio regionale mediante l’esperienza diretta degli attori che ne fanno parte (studenti e/o diplomati e/o docenti e/o aziende partner). </w:t>
      </w:r>
    </w:p>
    <w:p w14:paraId="417BE34A" w14:textId="77777777" w:rsidR="003152D9" w:rsidRPr="0041144F" w:rsidRDefault="003152D9" w:rsidP="005C26BC">
      <w:pPr>
        <w:spacing w:after="0" w:line="360" w:lineRule="auto"/>
        <w:jc w:val="both"/>
        <w:rPr>
          <w:color w:val="222A35" w:themeColor="text2" w:themeShade="80"/>
        </w:rPr>
      </w:pPr>
      <w:r w:rsidRPr="0041144F">
        <w:rPr>
          <w:color w:val="222A35" w:themeColor="text2" w:themeShade="80"/>
        </w:rPr>
        <w:t xml:space="preserve">Il laboratorio orientativo prevede quindi la presentazione delle caratteristiche precipue della Fondazione ITS di interesse per gli studenti (offerta formativa, Mercato del Lavoro di riferimento, etc.) e può prevedere due tipi di articolazione delle attività: </w:t>
      </w:r>
    </w:p>
    <w:p w14:paraId="12B3A933" w14:textId="77777777" w:rsidR="007D6922" w:rsidRPr="0041144F" w:rsidRDefault="007D6922" w:rsidP="005C26BC">
      <w:pPr>
        <w:spacing w:after="0" w:line="360" w:lineRule="auto"/>
        <w:jc w:val="both"/>
        <w:rPr>
          <w:bCs/>
          <w:color w:val="222A35" w:themeColor="text2" w:themeShade="80"/>
          <w:u w:val="single"/>
        </w:rPr>
      </w:pPr>
      <w:r w:rsidRPr="0041144F">
        <w:rPr>
          <w:bCs/>
          <w:color w:val="222A35" w:themeColor="text2" w:themeShade="80"/>
          <w:u w:val="single"/>
        </w:rPr>
        <w:t>Lab orientativo.1</w:t>
      </w:r>
    </w:p>
    <w:p w14:paraId="116EC686" w14:textId="77777777" w:rsidR="007D6922" w:rsidRPr="0041144F" w:rsidRDefault="007D6922" w:rsidP="005C26BC">
      <w:pPr>
        <w:numPr>
          <w:ilvl w:val="0"/>
          <w:numId w:val="3"/>
        </w:numPr>
        <w:spacing w:after="0" w:line="360" w:lineRule="auto"/>
        <w:jc w:val="both"/>
        <w:rPr>
          <w:bCs/>
          <w:color w:val="222A35" w:themeColor="text2" w:themeShade="80"/>
        </w:rPr>
      </w:pPr>
      <w:r w:rsidRPr="0041144F">
        <w:rPr>
          <w:b/>
          <w:color w:val="222A35" w:themeColor="text2" w:themeShade="80"/>
        </w:rPr>
        <w:lastRenderedPageBreak/>
        <w:t>Presentazione della Fondazione e condivisone della propria esperienza</w:t>
      </w:r>
      <w:r w:rsidRPr="0041144F">
        <w:rPr>
          <w:bCs/>
          <w:color w:val="222A35" w:themeColor="text2" w:themeShade="80"/>
        </w:rPr>
        <w:t xml:space="preserve"> da parte di studenti e/o diplomati e/o docenti ITS, quindi con coinvolgimento di eventuali testimonial.</w:t>
      </w:r>
    </w:p>
    <w:p w14:paraId="61C2B09C" w14:textId="77777777" w:rsidR="007D6922" w:rsidRPr="0041144F" w:rsidRDefault="007D6922" w:rsidP="005C26BC">
      <w:pPr>
        <w:spacing w:after="0" w:line="360" w:lineRule="auto"/>
        <w:jc w:val="both"/>
        <w:rPr>
          <w:bCs/>
          <w:color w:val="222A35" w:themeColor="text2" w:themeShade="80"/>
          <w:u w:val="single"/>
        </w:rPr>
      </w:pPr>
      <w:r w:rsidRPr="0041144F">
        <w:rPr>
          <w:bCs/>
          <w:color w:val="222A35" w:themeColor="text2" w:themeShade="80"/>
          <w:u w:val="single"/>
        </w:rPr>
        <w:t>Lab orientativo.2</w:t>
      </w:r>
    </w:p>
    <w:p w14:paraId="27AE7E5F" w14:textId="77777777" w:rsidR="007D6922" w:rsidRPr="0041144F" w:rsidRDefault="007D6922" w:rsidP="005C26BC">
      <w:pPr>
        <w:numPr>
          <w:ilvl w:val="0"/>
          <w:numId w:val="4"/>
        </w:numPr>
        <w:spacing w:after="0" w:line="360" w:lineRule="auto"/>
        <w:jc w:val="both"/>
        <w:rPr>
          <w:bCs/>
          <w:color w:val="222A35" w:themeColor="text2" w:themeShade="80"/>
        </w:rPr>
      </w:pPr>
      <w:bookmarkStart w:id="1" w:name="_Hlk75164648"/>
      <w:r w:rsidRPr="0041144F">
        <w:rPr>
          <w:b/>
          <w:color w:val="222A35" w:themeColor="text2" w:themeShade="80"/>
        </w:rPr>
        <w:t>Presentazione della Fondazione e condivisone della propria esperienza</w:t>
      </w:r>
      <w:r w:rsidRPr="0041144F">
        <w:rPr>
          <w:bCs/>
          <w:color w:val="222A35" w:themeColor="text2" w:themeShade="80"/>
        </w:rPr>
        <w:t xml:space="preserve"> da parte di studenti e/o diplomati e/o docenti ITS;</w:t>
      </w:r>
    </w:p>
    <w:bookmarkEnd w:id="1"/>
    <w:p w14:paraId="7616DC0C" w14:textId="77777777" w:rsidR="007D6922" w:rsidRPr="0041144F" w:rsidRDefault="007D6922" w:rsidP="005C26BC">
      <w:pPr>
        <w:numPr>
          <w:ilvl w:val="0"/>
          <w:numId w:val="4"/>
        </w:numPr>
        <w:spacing w:after="0" w:line="360" w:lineRule="auto"/>
        <w:jc w:val="both"/>
        <w:rPr>
          <w:bCs/>
          <w:color w:val="222A35" w:themeColor="text2" w:themeShade="80"/>
        </w:rPr>
      </w:pPr>
      <w:r w:rsidRPr="0041144F">
        <w:rPr>
          <w:b/>
          <w:color w:val="222A35" w:themeColor="text2" w:themeShade="80"/>
        </w:rPr>
        <w:t>Visita alle sedi e ai laboratori dei singoli ITS</w:t>
      </w:r>
      <w:r w:rsidRPr="0041144F">
        <w:rPr>
          <w:bCs/>
          <w:color w:val="222A35" w:themeColor="text2" w:themeShade="80"/>
        </w:rPr>
        <w:t xml:space="preserve"> co-progettate con le Fondazioni e/o v</w:t>
      </w:r>
      <w:r w:rsidRPr="0041144F">
        <w:rPr>
          <w:b/>
          <w:color w:val="222A35" w:themeColor="text2" w:themeShade="80"/>
        </w:rPr>
        <w:t>isita alle sedi aziendali</w:t>
      </w:r>
      <w:r w:rsidRPr="0041144F">
        <w:rPr>
          <w:bCs/>
          <w:color w:val="222A35" w:themeColor="text2" w:themeShade="80"/>
        </w:rPr>
        <w:t xml:space="preserve"> delle realtà produttive di riferimento delle Fondazioni ITS co-progettate con le Fondazioni;</w:t>
      </w:r>
    </w:p>
    <w:p w14:paraId="5AA2A6AB" w14:textId="77777777" w:rsidR="007D6922" w:rsidRPr="0041144F" w:rsidRDefault="007D6922" w:rsidP="005C26BC">
      <w:pPr>
        <w:numPr>
          <w:ilvl w:val="0"/>
          <w:numId w:val="4"/>
        </w:numPr>
        <w:spacing w:after="0" w:line="360" w:lineRule="auto"/>
        <w:jc w:val="both"/>
        <w:rPr>
          <w:bCs/>
          <w:color w:val="222A35" w:themeColor="text2" w:themeShade="80"/>
        </w:rPr>
      </w:pPr>
      <w:r w:rsidRPr="0041144F">
        <w:rPr>
          <w:b/>
          <w:color w:val="222A35" w:themeColor="text2" w:themeShade="80"/>
        </w:rPr>
        <w:t>Elaborazione dell’esperienza</w:t>
      </w:r>
      <w:r w:rsidRPr="0041144F">
        <w:rPr>
          <w:bCs/>
          <w:color w:val="222A35" w:themeColor="text2" w:themeShade="80"/>
        </w:rPr>
        <w:t xml:space="preserve"> con focus sui profili in uscita</w:t>
      </w:r>
    </w:p>
    <w:p w14:paraId="48CB72D0" w14:textId="77777777" w:rsidR="003152D9" w:rsidRPr="0041144F" w:rsidRDefault="003152D9" w:rsidP="005C26BC">
      <w:pPr>
        <w:spacing w:after="0" w:line="360" w:lineRule="auto"/>
        <w:jc w:val="both"/>
        <w:rPr>
          <w:color w:val="222A35" w:themeColor="text2" w:themeShade="80"/>
        </w:rPr>
      </w:pPr>
    </w:p>
    <w:p w14:paraId="6A44A5E4" w14:textId="5997744F" w:rsidR="003152D9" w:rsidRPr="0041144F" w:rsidRDefault="003152D9" w:rsidP="005C26BC">
      <w:pPr>
        <w:spacing w:after="0" w:line="360" w:lineRule="auto"/>
        <w:jc w:val="both"/>
        <w:rPr>
          <w:color w:val="222A35" w:themeColor="text2" w:themeShade="80"/>
        </w:rPr>
      </w:pPr>
      <w:r w:rsidRPr="0041144F">
        <w:rPr>
          <w:color w:val="222A35" w:themeColor="text2" w:themeShade="80"/>
        </w:rPr>
        <w:t xml:space="preserve">Per questa seconda modalità di articolazione del laboratorio </w:t>
      </w:r>
      <w:r w:rsidR="0041144F">
        <w:rPr>
          <w:color w:val="222A35" w:themeColor="text2" w:themeShade="80"/>
        </w:rPr>
        <w:t xml:space="preserve">al momento </w:t>
      </w:r>
      <w:r w:rsidRPr="0041144F">
        <w:rPr>
          <w:color w:val="222A35" w:themeColor="text2" w:themeShade="80"/>
        </w:rPr>
        <w:t>si intende coinvolgere un Istituto Professionale per Provincia, individuato dalla fondazione competente per territorio congiuntamente alla UAT. Compatibilmente con quelle che saranno le indicazioni di contenimento Covid-19, tale tipologia potrà essere realizzata a partire da gennaio 2022. Ogni singola Fondazione potrà comunque gestire ulteriori laboratori in continuità con i propri contatti con le scuole.</w:t>
      </w:r>
    </w:p>
    <w:p w14:paraId="13EBED89" w14:textId="77777777" w:rsidR="005C26BC" w:rsidRPr="0041144F" w:rsidRDefault="005C26BC" w:rsidP="005C26BC">
      <w:pPr>
        <w:spacing w:after="0" w:line="360" w:lineRule="auto"/>
        <w:jc w:val="both"/>
        <w:rPr>
          <w:color w:val="222A35" w:themeColor="text2" w:themeShade="80"/>
        </w:rPr>
      </w:pPr>
    </w:p>
    <w:p w14:paraId="0F9CBBE4" w14:textId="7FE87C55" w:rsidR="003152D9" w:rsidRPr="0041144F" w:rsidRDefault="003152D9" w:rsidP="005C26BC">
      <w:pPr>
        <w:spacing w:after="0" w:line="360" w:lineRule="auto"/>
        <w:jc w:val="both"/>
        <w:rPr>
          <w:b/>
          <w:bCs/>
          <w:color w:val="222A35" w:themeColor="text2" w:themeShade="80"/>
        </w:rPr>
      </w:pPr>
      <w:r w:rsidRPr="0041144F">
        <w:rPr>
          <w:b/>
          <w:bCs/>
          <w:color w:val="222A35" w:themeColor="text2" w:themeShade="80"/>
        </w:rPr>
        <w:t>DESTINATARI</w:t>
      </w:r>
    </w:p>
    <w:p w14:paraId="0AE0C6A4" w14:textId="21F735C0" w:rsidR="003152D9" w:rsidRPr="0041144F" w:rsidRDefault="003152D9" w:rsidP="005C26B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color w:val="222A35" w:themeColor="text2" w:themeShade="80"/>
        </w:rPr>
      </w:pPr>
      <w:r w:rsidRPr="0041144F">
        <w:rPr>
          <w:color w:val="222A35" w:themeColor="text2" w:themeShade="80"/>
        </w:rPr>
        <w:t>Studenti delle classi IV e V</w:t>
      </w:r>
    </w:p>
    <w:p w14:paraId="6C312684" w14:textId="5EAB7750" w:rsidR="003152D9" w:rsidRPr="0041144F" w:rsidRDefault="003152D9" w:rsidP="005C26B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color w:val="222A35" w:themeColor="text2" w:themeShade="80"/>
        </w:rPr>
      </w:pPr>
      <w:r w:rsidRPr="0041144F">
        <w:rPr>
          <w:color w:val="222A35" w:themeColor="text2" w:themeShade="80"/>
        </w:rPr>
        <w:t>Insegnanti</w:t>
      </w:r>
    </w:p>
    <w:p w14:paraId="5DD05E09" w14:textId="5CAE7E8A" w:rsidR="003152D9" w:rsidRPr="0041144F" w:rsidRDefault="003152D9" w:rsidP="005C26BC">
      <w:pPr>
        <w:pStyle w:val="Paragrafoelenco"/>
        <w:spacing w:after="0" w:line="360" w:lineRule="auto"/>
        <w:jc w:val="both"/>
        <w:rPr>
          <w:color w:val="222A35" w:themeColor="text2" w:themeShade="80"/>
        </w:rPr>
      </w:pPr>
    </w:p>
    <w:p w14:paraId="49DD1810" w14:textId="77777777" w:rsidR="005C26BC" w:rsidRPr="0041144F" w:rsidRDefault="005C26BC" w:rsidP="005C26BC">
      <w:pPr>
        <w:pStyle w:val="Paragrafoelenco"/>
        <w:spacing w:after="0" w:line="360" w:lineRule="auto"/>
        <w:jc w:val="both"/>
        <w:rPr>
          <w:color w:val="222A35" w:themeColor="text2" w:themeShade="80"/>
        </w:rPr>
      </w:pPr>
    </w:p>
    <w:sectPr w:rsidR="005C26BC" w:rsidRPr="0041144F" w:rsidSect="005C26B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89988" w14:textId="77777777" w:rsidR="00A605D1" w:rsidRDefault="00A605D1" w:rsidP="005C26BC">
      <w:pPr>
        <w:spacing w:after="0" w:line="240" w:lineRule="auto"/>
      </w:pPr>
      <w:r>
        <w:separator/>
      </w:r>
    </w:p>
  </w:endnote>
  <w:endnote w:type="continuationSeparator" w:id="0">
    <w:p w14:paraId="5834998A" w14:textId="77777777" w:rsidR="00A605D1" w:rsidRDefault="00A605D1" w:rsidP="005C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32525858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3CE86F9D" w14:textId="7345C8E6" w:rsidR="005C26BC" w:rsidRDefault="005C26B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B29BCE" wp14:editId="6650D9AF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10086D" w14:textId="77777777" w:rsidR="005C26BC" w:rsidRDefault="005C26BC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A605D1" w:rsidRPr="00A605D1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29BCE" id="Ovale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3f1olHgCAAD5BAAADgAAAAAA&#10;AAAAAAAAAAAuAgAAZHJzL2Uyb0RvYy54bWxQSwECLQAUAAYACAAAACEAhXP/QtoAAAADAQAADwAA&#10;AAAAAAAAAAAAAADSBAAAZHJzL2Rvd25yZXYueG1sUEsFBgAAAAAEAAQA8wAAANkFAAAAAA==&#10;" fillcolor="#40618b" stroked="f">
                      <v:textbox>
                        <w:txbxContent>
                          <w:p w14:paraId="4310086D" w14:textId="77777777" w:rsidR="005C26BC" w:rsidRDefault="005C26BC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A605D1" w:rsidRPr="00A605D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E6E8985" w14:textId="77777777" w:rsidR="005C26BC" w:rsidRDefault="005C26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1110B" w14:textId="77777777" w:rsidR="00A605D1" w:rsidRDefault="00A605D1" w:rsidP="005C26BC">
      <w:pPr>
        <w:spacing w:after="0" w:line="240" w:lineRule="auto"/>
      </w:pPr>
      <w:r>
        <w:separator/>
      </w:r>
    </w:p>
  </w:footnote>
  <w:footnote w:type="continuationSeparator" w:id="0">
    <w:p w14:paraId="04CBAB0F" w14:textId="77777777" w:rsidR="00A605D1" w:rsidRDefault="00A605D1" w:rsidP="005C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F91E6" w14:textId="360957CC" w:rsidR="005C26BC" w:rsidRDefault="005C26BC" w:rsidP="005C26B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F7A0454" wp14:editId="7785605D">
          <wp:extent cx="1670050" cy="68652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596" cy="694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CB4"/>
    <w:multiLevelType w:val="hybridMultilevel"/>
    <w:tmpl w:val="4C98E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161F"/>
    <w:multiLevelType w:val="hybridMultilevel"/>
    <w:tmpl w:val="B08EE9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3693D"/>
    <w:multiLevelType w:val="hybridMultilevel"/>
    <w:tmpl w:val="049C1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A6668"/>
    <w:multiLevelType w:val="hybridMultilevel"/>
    <w:tmpl w:val="C5828CBE"/>
    <w:lvl w:ilvl="0" w:tplc="98A8C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D9"/>
    <w:rsid w:val="000E5A17"/>
    <w:rsid w:val="003152D9"/>
    <w:rsid w:val="0041144F"/>
    <w:rsid w:val="005C26BC"/>
    <w:rsid w:val="00720F30"/>
    <w:rsid w:val="007D6922"/>
    <w:rsid w:val="008D4645"/>
    <w:rsid w:val="008D7C15"/>
    <w:rsid w:val="00A605D1"/>
    <w:rsid w:val="00B2045B"/>
    <w:rsid w:val="00F3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B5FDF"/>
  <w15:chartTrackingRefBased/>
  <w15:docId w15:val="{94DD4827-9DC3-4002-B8C5-CC9C618E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46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6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6BC"/>
  </w:style>
  <w:style w:type="paragraph" w:styleId="Pidipagina">
    <w:name w:val="footer"/>
    <w:basedOn w:val="Normale"/>
    <w:link w:val="PidipaginaCarattere"/>
    <w:uiPriority w:val="99"/>
    <w:unhideWhenUsed/>
    <w:rsid w:val="005C26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C299D-CC7F-424B-9D65-66F6AF60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Tafuro</dc:creator>
  <cp:keywords/>
  <dc:description/>
  <cp:lastModifiedBy>Maria Teresa Pratesi</cp:lastModifiedBy>
  <cp:revision>2</cp:revision>
  <dcterms:created xsi:type="dcterms:W3CDTF">2021-09-17T09:34:00Z</dcterms:created>
  <dcterms:modified xsi:type="dcterms:W3CDTF">2021-09-17T09:34:00Z</dcterms:modified>
</cp:coreProperties>
</file>